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文件编号：WI-PR-007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表面处理工序作业指导书</w:t>
      </w:r>
    </w:p>
    <w:p/>
    <w:p>
      <w:pPr>
        <w:pStyle w:val="Heading1"/>
      </w:pPr>
      <w:r>
        <w:t>1. 目的</w:t>
      </w:r>
    </w:p>
    <w:p>
      <w:r>
        <w:t>规范表面处理操作。</w:t>
      </w:r>
    </w:p>
    <w:p/>
    <w:p>
      <w:pPr>
        <w:pStyle w:val="Heading1"/>
      </w:pPr>
      <w:r>
        <w:t>2. 范围</w:t>
      </w:r>
    </w:p>
    <w:p>
      <w:r>
        <w:t>适用于电镀、喷涂、氧化等表面处理。</w:t>
      </w:r>
    </w:p>
    <w:p/>
    <w:p>
      <w:pPr>
        <w:pStyle w:val="Heading1"/>
      </w:pPr>
      <w:r>
        <w:t>3. 作业前准备</w:t>
      </w:r>
    </w:p>
    <w:p>
      <w:pPr>
        <w:pStyle w:val="ListBullet"/>
      </w:pPr>
      <w:r>
        <w:t>检查处理设备</w:t>
      </w:r>
    </w:p>
    <w:p>
      <w:pPr>
        <w:pStyle w:val="ListBullet"/>
      </w:pPr>
      <w:r>
        <w:t>准备处理液</w:t>
      </w:r>
    </w:p>
    <w:p>
      <w:pPr>
        <w:pStyle w:val="ListBullet"/>
      </w:pPr>
      <w:r>
        <w:t>工件前处理（除油、除锈）</w:t>
      </w:r>
    </w:p>
    <w:p/>
    <w:p>
      <w:pPr>
        <w:pStyle w:val="Heading1"/>
      </w:pPr>
      <w:r>
        <w:t>4. 操作步骤</w:t>
      </w:r>
    </w:p>
    <w:p>
      <w:pPr>
        <w:pStyle w:val="ListBullet"/>
      </w:pPr>
      <w:r>
        <w:t>按工艺要求配制处理液</w:t>
      </w:r>
    </w:p>
    <w:p>
      <w:pPr>
        <w:pStyle w:val="ListBullet"/>
      </w:pPr>
      <w:r>
        <w:t>控制处理温度和时间</w:t>
      </w:r>
    </w:p>
    <w:p>
      <w:pPr>
        <w:pStyle w:val="ListBullet"/>
      </w:pPr>
      <w:r>
        <w:t>进行处理</w:t>
      </w:r>
    </w:p>
    <w:p>
      <w:pPr>
        <w:pStyle w:val="ListBullet"/>
      </w:pPr>
      <w:r>
        <w:t>后处理（清洗、干燥）</w:t>
      </w:r>
    </w:p>
    <w:p/>
    <w:p>
      <w:pPr>
        <w:pStyle w:val="Heading1"/>
      </w:pPr>
      <w:r>
        <w:t>5. 质量要求</w:t>
      </w:r>
    </w:p>
    <w:p>
      <w:pPr>
        <w:pStyle w:val="ListBullet"/>
      </w:pPr>
      <w:r>
        <w:t>膜层均匀</w:t>
      </w:r>
    </w:p>
    <w:p>
      <w:pPr>
        <w:pStyle w:val="ListBullet"/>
      </w:pPr>
      <w:r>
        <w:t>无漏镀、起泡</w:t>
      </w:r>
    </w:p>
    <w:p>
      <w:pPr>
        <w:pStyle w:val="ListBullet"/>
      </w:pPr>
      <w:r>
        <w:t>附着力合格</w:t>
      </w:r>
    </w:p>
    <w:p>
      <w:pPr>
        <w:pStyle w:val="ListBullet"/>
      </w:pPr>
      <w:r>
        <w:t>厚度符合要求</w:t>
      </w:r>
    </w:p>
    <w:p/>
    <w:p>
      <w:pPr>
        <w:pStyle w:val="Heading1"/>
      </w:pPr>
      <w:r>
        <w:t>6. 注意事项</w:t>
      </w:r>
    </w:p>
    <w:p>
      <w:pPr>
        <w:pStyle w:val="ListBullet"/>
      </w:pPr>
      <w:r>
        <w:t>控制溶液浓度</w:t>
      </w:r>
    </w:p>
    <w:p>
      <w:pPr>
        <w:pStyle w:val="ListBullet"/>
      </w:pPr>
      <w:r>
        <w:t>注意化学品安全</w:t>
      </w:r>
    </w:p>
    <w:p>
      <w:pPr>
        <w:pStyle w:val="ListBullet"/>
      </w:pPr>
      <w:r>
        <w:t>废水处理</w:t>
      </w:r>
    </w:p>
    <w:p/>
    <w:p>
      <w:pPr>
        <w:pStyle w:val="Heading1"/>
      </w:pPr>
      <w:r>
        <w:t>7. 记录</w:t>
      </w:r>
    </w:p>
    <w:p>
      <w:r>
        <w:t>填写《表面处理记录》（FM-105）。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